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46B" w:rsidRPr="003D046B" w:rsidRDefault="003D046B" w:rsidP="003D046B">
      <w:pPr>
        <w:tabs>
          <w:tab w:val="left" w:pos="19530"/>
        </w:tabs>
        <w:autoSpaceDE w:val="0"/>
        <w:autoSpaceDN w:val="0"/>
        <w:adjustRightInd w:val="0"/>
        <w:spacing w:after="240" w:line="240" w:lineRule="auto"/>
        <w:jc w:val="both"/>
        <w:rPr>
          <w:rFonts w:ascii="Verdana" w:hAnsi="Verdana" w:cs="Verdana"/>
          <w:b/>
          <w:bCs/>
          <w:color w:val="008000"/>
          <w:sz w:val="16"/>
          <w:szCs w:val="16"/>
          <w:u w:val="single"/>
          <w:lang w:val="en-US"/>
        </w:rPr>
      </w:pPr>
      <w:r w:rsidRPr="003D046B">
        <w:rPr>
          <w:rFonts w:ascii="Verdana" w:hAnsi="Verdana" w:cs="Verdana"/>
          <w:b/>
          <w:bCs/>
          <w:color w:val="008000"/>
          <w:sz w:val="16"/>
          <w:szCs w:val="16"/>
          <w:u w:val="single"/>
          <w:lang w:val="en-US"/>
        </w:rPr>
        <w:t>14 July 2015</w:t>
      </w:r>
    </w:p>
    <w:p w:rsidR="003D046B" w:rsidRPr="003D046B" w:rsidRDefault="003D046B" w:rsidP="003D046B">
      <w:pPr>
        <w:autoSpaceDE w:val="0"/>
        <w:autoSpaceDN w:val="0"/>
        <w:adjustRightInd w:val="0"/>
        <w:spacing w:after="0" w:line="240" w:lineRule="auto"/>
        <w:rPr>
          <w:rFonts w:ascii="Verdana" w:hAnsi="Verdana" w:cs="Verdana"/>
          <w:b/>
          <w:bCs/>
          <w:color w:val="008000"/>
          <w:sz w:val="16"/>
          <w:szCs w:val="16"/>
          <w:u w:val="single"/>
          <w:lang w:val="en-US"/>
        </w:rPr>
      </w:pPr>
      <w:r w:rsidRPr="003D046B">
        <w:rPr>
          <w:rFonts w:ascii="Verdana" w:hAnsi="Verdana" w:cs="Verdana"/>
          <w:b/>
          <w:bCs/>
          <w:color w:val="008000"/>
          <w:sz w:val="16"/>
          <w:szCs w:val="16"/>
          <w:u w:val="single"/>
          <w:lang w:val="en-US"/>
        </w:rPr>
        <w:t>Ambassador meets students of The Hague Academy of International Law</w:t>
      </w:r>
    </w:p>
    <w:p w:rsidR="003D046B" w:rsidRPr="003D046B" w:rsidRDefault="003D046B" w:rsidP="003D046B">
      <w:pPr>
        <w:autoSpaceDE w:val="0"/>
        <w:autoSpaceDN w:val="0"/>
        <w:adjustRightInd w:val="0"/>
        <w:spacing w:after="0" w:line="240" w:lineRule="auto"/>
        <w:rPr>
          <w:rFonts w:ascii="Verdana" w:hAnsi="Verdana" w:cs="Verdana"/>
          <w:b/>
          <w:bCs/>
          <w:color w:val="008000"/>
          <w:sz w:val="16"/>
          <w:szCs w:val="16"/>
          <w:u w:val="single"/>
          <w:lang w:val="en-US"/>
        </w:rPr>
      </w:pPr>
    </w:p>
    <w:p w:rsidR="003D046B" w:rsidRDefault="003D046B" w:rsidP="003D046B">
      <w:pPr>
        <w:pBdr>
          <w:top w:val="threeDEmboss" w:sz="18" w:space="0" w:color="000000"/>
          <w:left w:val="threeDEmboss" w:sz="18" w:space="0" w:color="000000"/>
          <w:bottom w:val="threeDEmboss" w:sz="18" w:space="0" w:color="000000"/>
          <w:right w:val="threeDEmboss" w:sz="18" w:space="0" w:color="000000"/>
        </w:pBdr>
        <w:autoSpaceDE w:val="0"/>
        <w:autoSpaceDN w:val="0"/>
        <w:adjustRightInd w:val="0"/>
        <w:spacing w:after="0" w:line="240" w:lineRule="auto"/>
        <w:rPr>
          <w:rFonts w:ascii="Verdana" w:hAnsi="Verdana" w:cs="Verdana"/>
          <w:b/>
          <w:bCs/>
          <w:color w:val="008000"/>
          <w:sz w:val="16"/>
          <w:szCs w:val="16"/>
          <w:u w:val="single"/>
        </w:rPr>
      </w:pPr>
      <w:r>
        <w:rPr>
          <w:rFonts w:ascii="Verdana" w:hAnsi="Verdana" w:cs="Verdana"/>
          <w:b/>
          <w:bCs/>
          <w:noProof/>
          <w:color w:val="008000"/>
          <w:sz w:val="16"/>
          <w:szCs w:val="16"/>
          <w:u w:val="single"/>
          <w:lang w:eastAsia="nl-NL"/>
        </w:rPr>
        <w:drawing>
          <wp:inline distT="0" distB="0" distL="0" distR="0">
            <wp:extent cx="4581525" cy="365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81525" cy="3657600"/>
                    </a:xfrm>
                    <a:prstGeom prst="rect">
                      <a:avLst/>
                    </a:prstGeom>
                    <a:noFill/>
                    <a:ln>
                      <a:noFill/>
                    </a:ln>
                  </pic:spPr>
                </pic:pic>
              </a:graphicData>
            </a:graphic>
          </wp:inline>
        </w:drawing>
      </w:r>
      <w:r>
        <w:rPr>
          <w:rFonts w:ascii="Verdana" w:hAnsi="Verdana" w:cs="Verdana"/>
          <w:b/>
          <w:bCs/>
          <w:noProof/>
          <w:color w:val="008000"/>
          <w:sz w:val="16"/>
          <w:szCs w:val="16"/>
          <w:u w:val="single"/>
          <w:lang w:eastAsia="nl-NL"/>
        </w:rPr>
        <w:drawing>
          <wp:inline distT="0" distB="0" distL="0" distR="0">
            <wp:extent cx="303847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3648075"/>
                    </a:xfrm>
                    <a:prstGeom prst="rect">
                      <a:avLst/>
                    </a:prstGeom>
                    <a:noFill/>
                    <a:ln>
                      <a:noFill/>
                    </a:ln>
                  </pic:spPr>
                </pic:pic>
              </a:graphicData>
            </a:graphic>
          </wp:inline>
        </w:drawing>
      </w:r>
    </w:p>
    <w:p w:rsidR="003D046B" w:rsidRDefault="003D046B" w:rsidP="003D046B">
      <w:pPr>
        <w:autoSpaceDE w:val="0"/>
        <w:autoSpaceDN w:val="0"/>
        <w:adjustRightInd w:val="0"/>
        <w:spacing w:after="0" w:line="240" w:lineRule="auto"/>
        <w:rPr>
          <w:rFonts w:ascii="Verdana" w:hAnsi="Verdana" w:cs="Verdana"/>
          <w:b/>
          <w:bCs/>
          <w:color w:val="008000"/>
          <w:sz w:val="16"/>
          <w:szCs w:val="16"/>
          <w:u w:val="single"/>
        </w:rPr>
      </w:pPr>
    </w:p>
    <w:p w:rsidR="003D046B" w:rsidRPr="003D046B" w:rsidRDefault="003D046B" w:rsidP="003D046B">
      <w:pPr>
        <w:autoSpaceDE w:val="0"/>
        <w:autoSpaceDN w:val="0"/>
        <w:adjustRightInd w:val="0"/>
        <w:spacing w:after="0" w:line="240" w:lineRule="auto"/>
        <w:rPr>
          <w:rFonts w:ascii="Verdana" w:hAnsi="Verdana" w:cs="Verdana"/>
          <w:color w:val="008000"/>
          <w:sz w:val="16"/>
          <w:szCs w:val="16"/>
          <w:lang w:val="en-US"/>
        </w:rPr>
      </w:pPr>
      <w:r w:rsidRPr="003D046B">
        <w:rPr>
          <w:rFonts w:ascii="Verdana" w:hAnsi="Verdana" w:cs="Verdana"/>
          <w:color w:val="008000"/>
          <w:sz w:val="16"/>
          <w:szCs w:val="16"/>
          <w:lang w:val="en-US"/>
        </w:rPr>
        <w:t xml:space="preserve">On 14 July 2015 Ambassador </w:t>
      </w:r>
      <w:proofErr w:type="spellStart"/>
      <w:r w:rsidRPr="003D046B">
        <w:rPr>
          <w:rFonts w:ascii="Verdana" w:hAnsi="Verdana" w:cs="Verdana"/>
          <w:color w:val="008000"/>
          <w:sz w:val="16"/>
          <w:szCs w:val="16"/>
          <w:lang w:val="en-US"/>
        </w:rPr>
        <w:t>Kyriacós</w:t>
      </w:r>
      <w:proofErr w:type="spellEnd"/>
      <w:r w:rsidRPr="003D046B">
        <w:rPr>
          <w:rFonts w:ascii="Verdana" w:hAnsi="Verdana" w:cs="Verdana"/>
          <w:color w:val="008000"/>
          <w:sz w:val="16"/>
          <w:szCs w:val="16"/>
          <w:lang w:val="en-US"/>
        </w:rPr>
        <w:t xml:space="preserve"> P. </w:t>
      </w:r>
      <w:proofErr w:type="spellStart"/>
      <w:r w:rsidRPr="003D046B">
        <w:rPr>
          <w:rFonts w:ascii="Verdana" w:hAnsi="Verdana" w:cs="Verdana"/>
          <w:color w:val="008000"/>
          <w:sz w:val="16"/>
          <w:szCs w:val="16"/>
          <w:lang w:val="en-US"/>
        </w:rPr>
        <w:t>Kouros</w:t>
      </w:r>
      <w:proofErr w:type="spellEnd"/>
      <w:r w:rsidRPr="003D046B">
        <w:rPr>
          <w:rFonts w:ascii="Verdana" w:hAnsi="Verdana" w:cs="Verdana"/>
          <w:color w:val="008000"/>
          <w:sz w:val="16"/>
          <w:szCs w:val="16"/>
          <w:lang w:val="en-US"/>
        </w:rPr>
        <w:t xml:space="preserve"> hosted at the Embassy of Cyprus a group of students of The Hague Academy of International Law. Ambassador </w:t>
      </w:r>
      <w:proofErr w:type="spellStart"/>
      <w:r w:rsidRPr="003D046B">
        <w:rPr>
          <w:rFonts w:ascii="Verdana" w:hAnsi="Verdana" w:cs="Verdana"/>
          <w:color w:val="008000"/>
          <w:sz w:val="16"/>
          <w:szCs w:val="16"/>
          <w:lang w:val="en-US"/>
        </w:rPr>
        <w:t>Kouros</w:t>
      </w:r>
      <w:proofErr w:type="spellEnd"/>
      <w:r w:rsidRPr="003D046B">
        <w:rPr>
          <w:rFonts w:ascii="Verdana" w:hAnsi="Verdana" w:cs="Verdana"/>
          <w:color w:val="008000"/>
          <w:sz w:val="16"/>
          <w:szCs w:val="16"/>
          <w:lang w:val="en-US"/>
        </w:rPr>
        <w:t xml:space="preserve"> presented a general overview of diplomacy from the perspective of Cyprus, the history and latest developments on the Cyprus Question and on Cyprus economy. The Ambassador described the work and the priorities of the Embassy of Cyprus in The Hague both on the bilateral and multilateral level. In respect to the latter, he explained the Embassy’s work representing Cyprus in the </w:t>
      </w:r>
      <w:proofErr w:type="spellStart"/>
      <w:r w:rsidRPr="003D046B">
        <w:rPr>
          <w:rFonts w:ascii="Verdana" w:hAnsi="Verdana" w:cs="Verdana"/>
          <w:color w:val="008000"/>
          <w:sz w:val="16"/>
          <w:szCs w:val="16"/>
          <w:lang w:val="en-US"/>
        </w:rPr>
        <w:t>Organisation</w:t>
      </w:r>
      <w:proofErr w:type="spellEnd"/>
      <w:r w:rsidRPr="003D046B">
        <w:rPr>
          <w:rFonts w:ascii="Verdana" w:hAnsi="Verdana" w:cs="Verdana"/>
          <w:color w:val="008000"/>
          <w:sz w:val="16"/>
          <w:szCs w:val="16"/>
          <w:lang w:val="en-US"/>
        </w:rPr>
        <w:t xml:space="preserve"> for the Prohibition of Chemical Weapons and the International Courts and Legal Organizations and Institutions based in The Hague.</w:t>
      </w:r>
    </w:p>
    <w:p w:rsidR="0013360D" w:rsidRPr="003D046B" w:rsidRDefault="0013360D">
      <w:pPr>
        <w:rPr>
          <w:lang w:val="en-US"/>
        </w:rPr>
      </w:pPr>
      <w:bookmarkStart w:id="0" w:name="_GoBack"/>
      <w:bookmarkEnd w:id="0"/>
    </w:p>
    <w:sectPr w:rsidR="0013360D" w:rsidRPr="003D046B" w:rsidSect="00234C9B">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6B"/>
    <w:rsid w:val="0013360D"/>
    <w:rsid w:val="003D04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FCF98C-B1BF-40F8-9A21-62F385C2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118</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Vicky</cp:lastModifiedBy>
  <cp:revision>1</cp:revision>
  <dcterms:created xsi:type="dcterms:W3CDTF">2016-02-17T13:21:00Z</dcterms:created>
  <dcterms:modified xsi:type="dcterms:W3CDTF">2016-02-17T13:22:00Z</dcterms:modified>
</cp:coreProperties>
</file>